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10.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eğitsel ve sosyal etkinliklere katılmanın gelişimine katkılarını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veya dışında etkinliklere katılırken ilgi ve yeteneklerini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Yaşamındaki 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Hatırlamayı zorlaştıran ve unutmaya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Öğrenme ve verimli çalışma stratejilerini kullanma açısından kendisini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amaçlarıyla seçmek istediği kariyerlerin gerektirdiği akademik koşullar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imgesini etkileyen faktörler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Gelişim dönemi ile duygusal dalgalanmaları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beklentileri ile kariyer amaçlarını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beklentileri ile kariyer amaçlarını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Kariyer karar verme süreçlerinde kendi görüşleri ile aile ve yakın çevresinin görüşlerini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mesleklerle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Dersalandal seçerken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çabanın akademik hedeflere ulaşmadaki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ipuçlarını yorumlayarak uygun tepkiler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geliştirmek için çaba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hâline ilişkin edindiği bilgileri yaşamında uygulamayı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Yerel ve küresel sorunları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ortamlarındaki duygularını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olan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Kişisel hakların korunması ve kişisel güvenliğin sağlanması için yönergeleri izlemeyi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Doğal yaşamı korumak için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