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EĞİTM-ÖĞRETİM YILI  .......................................................................... 1. SINIF  İLETşM BECERLER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İB1.1. İletişim bağlamında tepki verebilme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İB1.1. İletişim bağlamında tepki verebilme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İB1.2. Temel iletişim becerilerini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İB1.2. Temel iletişim becerilerini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İB1.3. İletişim bağlamında taklit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İB1.3. İletişim bağlamında taklit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İB1.4. İletişim bağlamında jest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İB1.4. İletişim bağlamında jest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İB1.5. İletişim bağlamında rutinlere 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İB1.5. İletişim bağlamında rutinlere 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DÜNYAYI ANLIYORUM ANLAMLANDIRIYORUM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Vücudun Bölümlerini Tanıma Nesneleri Eylemleri Sınıflandırma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İB2.1. Vücudunun bölümlerini ve çevresindeki nesne isimlerini ve eylemleri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DÜNYAYI ANLIYORUM ANLAMLANDIRIYORUM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Vücudun Bölümlerini Tanıma Nesneleri Eylemleri Sınıflandırma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İB2.1. Vücudunun bölümlerini ve çevresindeki nesne isimlerini ve eylemleri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DÜNYAYI ANLIYORUM ANLAMLANDIRIYORUM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Vücudun Bölümlerini Tanıma Nesneleri Eylemleri Sınıflandırma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İB2.2. Nesneleri eylemleri sınıflandırabilme ve ilişkilendirebilme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DÜNYAYI ANLIYORUM ANLAMLANDIRIYORUM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Vücudun Bölümlerini Tanıma Nesneleri Eylemleri Sınıflandırma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İB2.2. Nesneleri eylemleri sınıflandırabilme ve ilişkilendirebilme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İB3.1. Sorulduğunda kendini tanıtabilme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İB3.2. Tercihlerini belirtebilme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İB3.2. Tercihlerini belirtebilme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İB3.3. Duygu ve düşünceleri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İB3.3. Duygu ve düşünceleri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İB3.4. Değişen durumlar doğrultusunda eylemleri düzenleyebilme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İB3.4. Değişen durumlar doğrultusunda eylemleri düzenleyebilme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İB4.1. Bağlama uygun oyun oynayabilme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İB4.1. Bağlama uygun oyun oynayabilme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İB4.2. Etkileşime dayalı oyun türlerine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İB4.2. Etkileşime dayalı oyun türlerine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İB4.3. Şarkı veya tekerleme söyleyebilme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İB4.3. Şarkı veya tekerleme söyleyebilme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İB4.4. Drama etkinliğinde rol alabilme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İB4.4. Drama etkinliğinde rol alabilme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KONUŞALIM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Bağlamı İletişim Bağlamında Sohbet Edebilme İletişim Bağlamında Sohbete Katılabilme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İB5.1. İletişim bağlamında uygun dil kullanarak sohbet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SDB2.3. Sosyal Farkındalık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KONUŞALIM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Bağlamı İletişim Bağlamında Sohbet Edebilme İletişim Bağlamında Sohbete Katılabilme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İB5.1. İletişim bağlamında uygun dil kullanarak sohbet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SDB2.3. Sosyal Farkındalık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KONUŞALIM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Bağlamı İletişim Bağlamında Sohbet Edebilme İletişim Bağlamında Sohbete Katılabilme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İB5.2. İletişim bağlamında sohbete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SDB2.3. Sosyal Farkındalık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KONUŞALIM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Bağlamı İletişim Bağlamında Sohbet Edebilme İletişim Bağlamında Sohbete Katılabilme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İB5.2. İletişim bağlamında sohbete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SDB2.3. Sosyal Farkındalık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22.06.2026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