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Koro eserlerinde kullanılan nüans terimlerini ayırt eder.</w:t>
              <w:br/>
              <w:t>12.1.1.2 Koro eserlerini nüans terimlerine uygun seslendirir.</w:t>
            </w:r>
          </w:p>
        </w:tc>
        <w:tc>
          <w:tcPr>
            <w:tcW w:w="3686" w:type="dxa"/>
            <w:vAlign w:val="center"/>
          </w:tcPr>
          <w:p w:rsidR="00C60E81" w:rsidRPr="00C60E81" w:rsidRDefault="00C60E81" w:rsidP="00262F51">
            <w:pPr>
              <w:rPr>
                <w:sz w:val="14"/>
                <w:szCs w:val="14"/>
              </w:rPr>
            </w:pPr>
            <w:r w:rsidRPr="00C60E81">
              <w:rPr>
                <w:sz w:val="14"/>
                <w:szCs w:val="14"/>
              </w:rPr>
              <w:t>Piano mezzopiano forte mezzoforte pianissimo ve fortissimo nüans terimlerinin sembolik işaretleri açıklanır.</w:t>
              <w:br/>
              <w:t>Piano mezzopiano forte mezzoforte pianissimo ve fortissimo nüans terimlerinin sembolik işaretlerinin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Koro eserlerinde kullanılan hız terimlerini ayırt eder.</w:t>
            </w:r>
          </w:p>
        </w:tc>
        <w:tc>
          <w:tcPr>
            <w:tcW w:w="3686" w:type="dxa"/>
            <w:vAlign w:val="center"/>
          </w:tcPr>
          <w:p w:rsidR="00C60E81" w:rsidRPr="00C60E81" w:rsidRDefault="00C60E81" w:rsidP="00262F51">
            <w:pPr>
              <w:rPr>
                <w:sz w:val="14"/>
                <w:szCs w:val="14"/>
              </w:rPr>
            </w:pPr>
            <w:r w:rsidRPr="00C60E81">
              <w:rPr>
                <w:sz w:val="14"/>
                <w:szCs w:val="14"/>
              </w:rPr>
              <w:t>Largo adagio ve presto hız terimlerinin metronomdaki sayısal karşılıkları açıklanır.</w:t>
              <w:br/>
              <w:t>Largo adagio ve presto hız terimlerinin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Koro eserlerini hız terimlerine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