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 einfach strukturierter</w:t>
              <w:br/>
              <w:t>freier Rede Aussprache und Intonation weitgehend angemessen realisieren</w:t>
              <w:br/>
              <w:t>Interkulturelle Kompetenz Schule als Lebensraum gestalten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