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Müzikal İfadede Nüanslar Gürlük</w:t>
            </w:r>
          </w:p>
        </w:tc>
        <w:tc>
          <w:tcPr>
            <w:tcW w:w="3686" w:type="dxa"/>
            <w:vAlign w:val="center"/>
          </w:tcPr>
          <w:p w:rsidR="00C60E81" w:rsidRPr="00C60E81" w:rsidRDefault="00C60E81" w:rsidP="00262F51">
            <w:pPr>
              <w:rPr>
                <w:sz w:val="14"/>
                <w:szCs w:val="14"/>
              </w:rPr>
            </w:pPr>
            <w:r w:rsidRPr="00C60E81">
              <w:rPr>
                <w:sz w:val="14"/>
                <w:szCs w:val="14"/>
              </w:rPr>
              <w:t>Nüans terimlerini Türkçe karşılıklarını açıklar</w:t>
              <w:br/>
              <w:t>Her seviye için ne kadar kuvvet uygulanacağını açıklar</w:t>
              <w:br/>
              <w:t>Crescendo ve decrescendo için çalışma yöntemleri önerir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Müzikal İfadede Aksanlar</w:t>
            </w:r>
          </w:p>
        </w:tc>
        <w:tc>
          <w:tcPr>
            <w:tcW w:w="3686" w:type="dxa"/>
            <w:vAlign w:val="center"/>
          </w:tcPr>
          <w:p w:rsidR="00C60E81" w:rsidRPr="00C60E81" w:rsidRDefault="00C60E81" w:rsidP="00262F51">
            <w:pPr>
              <w:rPr>
                <w:sz w:val="14"/>
                <w:szCs w:val="14"/>
              </w:rPr>
            </w:pPr>
            <w:r w:rsidRPr="00C60E81">
              <w:rPr>
                <w:sz w:val="14"/>
                <w:szCs w:val="14"/>
              </w:rPr>
              <w:t>Aksan terimlerini ve önemini açıklar</w:t>
              <w:br/>
              <w:t>Aksanların nasıl uygulanacağını açıklar</w:t>
              <w:br/>
              <w:t>Değişen dinamik ve aksanlar içeren eserlerle çalışır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